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323850</wp:posOffset>
            </wp:positionH>
            <wp:positionV relativeFrom="paragraph">
              <wp:posOffset>0</wp:posOffset>
            </wp:positionV>
            <wp:extent cx="542925" cy="542925"/>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2925" cy="5429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5686425</wp:posOffset>
            </wp:positionH>
            <wp:positionV relativeFrom="paragraph">
              <wp:posOffset>0</wp:posOffset>
            </wp:positionV>
            <wp:extent cx="542925" cy="542925"/>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2925" cy="542925"/>
                    </a:xfrm>
                    <a:prstGeom prst="rect"/>
                    <a:ln/>
                  </pic:spPr>
                </pic:pic>
              </a:graphicData>
            </a:graphic>
          </wp:anchor>
        </w:drawing>
      </w:r>
    </w:p>
    <w:p w:rsidR="00000000" w:rsidDel="00000000" w:rsidP="00000000" w:rsidRDefault="00000000" w:rsidRPr="00000000" w14:paraId="00000002">
      <w:pPr>
        <w:spacing w:after="0" w:line="240" w:lineRule="auto"/>
        <w:ind w:left="2160" w:firstLine="0"/>
        <w:jc w:val="center"/>
        <w:rPr>
          <w:b w:val="1"/>
          <w:sz w:val="24"/>
          <w:szCs w:val="24"/>
        </w:rPr>
      </w:pPr>
      <w:r w:rsidDel="00000000" w:rsidR="00000000" w:rsidRPr="00000000">
        <w:rPr>
          <w:b w:val="1"/>
          <w:sz w:val="24"/>
          <w:szCs w:val="24"/>
          <w:rtl w:val="0"/>
        </w:rPr>
        <w:t xml:space="preserve">ORANGE HIGH SCHOOL</w:t>
      </w:r>
    </w:p>
    <w:p w:rsidR="00000000" w:rsidDel="00000000" w:rsidP="00000000" w:rsidRDefault="00000000" w:rsidRPr="00000000" w14:paraId="00000003">
      <w:pPr>
        <w:spacing w:after="0" w:line="240" w:lineRule="auto"/>
        <w:ind w:left="2160" w:firstLine="0"/>
        <w:jc w:val="center"/>
        <w:rPr>
          <w:rFonts w:ascii="Times New Roman" w:cs="Times New Roman" w:eastAsia="Times New Roman" w:hAnsi="Times New Roman"/>
          <w:sz w:val="28"/>
          <w:szCs w:val="28"/>
        </w:rPr>
      </w:pPr>
      <w:r w:rsidDel="00000000" w:rsidR="00000000" w:rsidRPr="00000000">
        <w:rPr>
          <w:b w:val="1"/>
          <w:sz w:val="24"/>
          <w:szCs w:val="24"/>
          <w:rtl w:val="0"/>
        </w:rPr>
        <w:t xml:space="preserve">YEAR 11 2024 – STANDARD ENGLISH - Scope and Sequence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4">
      <w:pPr>
        <w:spacing w:after="0" w:line="240" w:lineRule="auto"/>
        <w:ind w:left="2160" w:firstLine="0"/>
        <w:jc w:val="center"/>
        <w:rPr>
          <w:rFonts w:ascii="Times New Roman" w:cs="Times New Roman" w:eastAsia="Times New Roman" w:hAnsi="Times New Roman"/>
          <w:sz w:val="10"/>
          <w:szCs w:val="10"/>
        </w:rPr>
      </w:pPr>
      <w:r w:rsidDel="00000000" w:rsidR="00000000" w:rsidRPr="00000000">
        <w:rPr>
          <w:rtl w:val="0"/>
        </w:rPr>
      </w:r>
    </w:p>
    <w:tbl>
      <w:tblPr>
        <w:tblStyle w:val="Table1"/>
        <w:tblW w:w="9645.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1245"/>
        <w:gridCol w:w="7050"/>
        <w:gridCol w:w="1350"/>
        <w:tblGridChange w:id="0">
          <w:tblGrid>
            <w:gridCol w:w="1245"/>
            <w:gridCol w:w="7050"/>
            <w:gridCol w:w="1350"/>
          </w:tblGrid>
        </w:tblGridChange>
      </w:tblGrid>
      <w:tr>
        <w:trPr>
          <w:cantSplit w:val="0"/>
          <w:trHeight w:val="582" w:hRule="atLeast"/>
          <w:tblHeader w:val="0"/>
        </w:trPr>
        <w:tc>
          <w:tcPr>
            <w:gridSpan w:val="2"/>
            <w:tcBorders>
              <w:top w:color="000000" w:space="0" w:sz="6" w:val="single"/>
              <w:left w:color="000000" w:space="0" w:sz="6" w:val="single"/>
              <w:bottom w:color="000000" w:space="0" w:sz="6" w:val="single"/>
              <w:right w:color="000000" w:space="0" w:sz="6" w:val="single"/>
            </w:tcBorders>
            <w:shd w:fill="ffd966" w:val="clear"/>
          </w:tcPr>
          <w:p w:rsidR="00000000" w:rsidDel="00000000" w:rsidP="00000000" w:rsidRDefault="00000000" w:rsidRPr="00000000" w14:paraId="00000005">
            <w:pPr>
              <w:spacing w:after="0" w:line="240" w:lineRule="auto"/>
              <w:ind w:left="180" w:firstLine="0"/>
              <w:rPr>
                <w:b w:val="1"/>
              </w:rPr>
            </w:pPr>
            <w:r w:rsidDel="00000000" w:rsidR="00000000" w:rsidRPr="00000000">
              <w:rPr>
                <w:b w:val="1"/>
                <w:rtl w:val="0"/>
              </w:rPr>
              <w:t xml:space="preserve">FACULTY:  English</w:t>
            </w:r>
          </w:p>
          <w:p w:rsidR="00000000" w:rsidDel="00000000" w:rsidP="00000000" w:rsidRDefault="00000000" w:rsidRPr="00000000" w14:paraId="00000006">
            <w:pPr>
              <w:spacing w:after="0" w:line="240" w:lineRule="auto"/>
              <w:ind w:left="180" w:firstLine="0"/>
              <w:rPr>
                <w:rFonts w:ascii="Times New Roman" w:cs="Times New Roman" w:eastAsia="Times New Roman" w:hAnsi="Times New Roman"/>
                <w:sz w:val="24"/>
                <w:szCs w:val="24"/>
              </w:rPr>
            </w:pPr>
            <w:r w:rsidDel="00000000" w:rsidR="00000000" w:rsidRPr="00000000">
              <w:rPr>
                <w:b w:val="1"/>
                <w:rtl w:val="0"/>
              </w:rPr>
              <w:t xml:space="preserve">SUBJECT: Standard English</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shd w:fill="ffd966" w:val="clear"/>
            <w:vAlign w:val="center"/>
          </w:tcPr>
          <w:p w:rsidR="00000000" w:rsidDel="00000000" w:rsidP="00000000" w:rsidRDefault="00000000" w:rsidRPr="00000000" w14:paraId="00000008">
            <w:pPr>
              <w:spacing w:after="0" w:line="240" w:lineRule="auto"/>
              <w:ind w:left="180" w:firstLine="0"/>
              <w:rPr>
                <w:rFonts w:ascii="Times New Roman" w:cs="Times New Roman" w:eastAsia="Times New Roman" w:hAnsi="Times New Roman"/>
                <w:b w:val="1"/>
              </w:rPr>
            </w:pPr>
            <w:r w:rsidDel="00000000" w:rsidR="00000000" w:rsidRPr="00000000">
              <w:rPr>
                <w:b w:val="1"/>
                <w:rtl w:val="0"/>
              </w:rPr>
              <w:t xml:space="preserve"> 2</w:t>
            </w:r>
            <w:r w:rsidDel="00000000" w:rsidR="00000000" w:rsidRPr="00000000">
              <w:rPr>
                <w:rFonts w:ascii="Times New Roman" w:cs="Times New Roman" w:eastAsia="Times New Roman" w:hAnsi="Times New Roman"/>
                <w:b w:val="1"/>
                <w:rtl w:val="0"/>
              </w:rPr>
              <w:t xml:space="preserve"> </w:t>
            </w:r>
            <w:r w:rsidDel="00000000" w:rsidR="00000000" w:rsidRPr="00000000">
              <w:rPr>
                <w:b w:val="1"/>
                <w:rtl w:val="0"/>
              </w:rPr>
              <w:t xml:space="preserve">UNIT </w:t>
            </w:r>
            <w:r w:rsidDel="00000000" w:rsidR="00000000" w:rsidRPr="00000000">
              <w:rPr>
                <w:rtl w:val="0"/>
              </w:rPr>
            </w:r>
          </w:p>
        </w:tc>
      </w:tr>
      <w:tr>
        <w:trPr>
          <w:cantSplit w:val="0"/>
          <w:trHeight w:val="1245"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9">
            <w:pPr>
              <w:spacing w:after="0" w:line="240" w:lineRule="auto"/>
              <w:ind w:left="180" w:right="15" w:firstLine="0"/>
              <w:rPr>
                <w:rFonts w:ascii="Times New Roman" w:cs="Times New Roman" w:eastAsia="Times New Roman" w:hAnsi="Times New Roman"/>
                <w:b w:val="1"/>
              </w:rPr>
            </w:pPr>
            <w:r w:rsidDel="00000000" w:rsidR="00000000" w:rsidRPr="00000000">
              <w:rPr>
                <w:b w:val="1"/>
                <w:u w:val="single"/>
                <w:rtl w:val="0"/>
              </w:rPr>
              <w:t xml:space="preserve">Common Module: Reading to Write</w:t>
            </w:r>
            <w:r w:rsidDel="00000000" w:rsidR="00000000" w:rsidRPr="00000000">
              <w:rPr>
                <w:rtl w:val="0"/>
              </w:rPr>
            </w:r>
          </w:p>
          <w:p w:rsidR="00000000" w:rsidDel="00000000" w:rsidP="00000000" w:rsidRDefault="00000000" w:rsidRPr="00000000" w14:paraId="0000000A">
            <w:pPr>
              <w:spacing w:after="0" w:line="240" w:lineRule="auto"/>
              <w:ind w:left="180" w:right="15" w:firstLine="0"/>
              <w:rPr/>
            </w:pPr>
            <w:r w:rsidDel="00000000" w:rsidR="00000000" w:rsidRPr="00000000">
              <w:rPr>
                <w:rtl w:val="0"/>
              </w:rPr>
              <w:t xml:space="preserve">In this module, students undertake the intensive and close reading of quality texts from a variety of modes and media. In doing so, they further develop the skills and knowledge necessary to appreciate, understand, analyse and evaluate how and why texts convey complex ideas, relationships, endeavours and scenarios.</w:t>
            </w:r>
          </w:p>
          <w:p w:rsidR="00000000" w:rsidDel="00000000" w:rsidP="00000000" w:rsidRDefault="00000000" w:rsidRPr="00000000" w14:paraId="0000000B">
            <w:pPr>
              <w:ind w:left="180" w:firstLine="0"/>
              <w:rPr>
                <w:rFonts w:ascii="Times New Roman" w:cs="Times New Roman" w:eastAsia="Times New Roman" w:hAnsi="Times New Roman"/>
                <w:b w:val="1"/>
              </w:rPr>
            </w:pPr>
            <w:r w:rsidDel="00000000" w:rsidR="00000000" w:rsidRPr="00000000">
              <w:rPr>
                <w:b w:val="1"/>
                <w:rtl w:val="0"/>
              </w:rPr>
              <w:t xml:space="preserve">Text: </w:t>
            </w:r>
            <w:r w:rsidDel="00000000" w:rsidR="00000000" w:rsidRPr="00000000">
              <w:rPr>
                <w:rtl w:val="0"/>
              </w:rPr>
              <w:t xml:space="preserve">Short texts </w:t>
            </w:r>
            <w:r w:rsidDel="00000000" w:rsidR="00000000" w:rsidRPr="00000000">
              <w:rPr>
                <w:b w:val="1"/>
                <w:rtl w:val="0"/>
              </w:rPr>
              <w:br w:type="textWrapping"/>
              <w:t xml:space="preserve">Term 1 2024 Week 1 – Term 1 2024 Week 10 (40 hours)</w:t>
            </w:r>
            <w:r w:rsidDel="00000000" w:rsidR="00000000" w:rsidRPr="00000000">
              <w:rPr>
                <w:rtl w:val="0"/>
              </w:rPr>
            </w:r>
          </w:p>
        </w:tc>
      </w:tr>
      <w:tr>
        <w:trPr>
          <w:cantSplit w:val="0"/>
          <w:trHeight w:val="435" w:hRule="atLeast"/>
          <w:tblHeader w:val="0"/>
        </w:trPr>
        <w:tc>
          <w:tcPr>
            <w:gridSpan w:val="3"/>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E">
            <w:pPr>
              <w:spacing w:after="0" w:line="240" w:lineRule="auto"/>
              <w:ind w:left="180" w:right="15" w:firstLine="0"/>
              <w:rPr>
                <w:rFonts w:ascii="Times New Roman" w:cs="Times New Roman" w:eastAsia="Times New Roman" w:hAnsi="Times New Roman"/>
                <w:b w:val="1"/>
              </w:rPr>
            </w:pPr>
            <w:r w:rsidDel="00000000" w:rsidR="00000000" w:rsidRPr="00000000">
              <w:rPr>
                <w:b w:val="1"/>
                <w:rtl w:val="0"/>
              </w:rPr>
              <w:t xml:space="preserve">Outcomes Assessed: </w:t>
            </w:r>
            <w:r w:rsidDel="00000000" w:rsidR="00000000" w:rsidRPr="00000000">
              <w:rPr>
                <w:rFonts w:ascii="Arial" w:cs="Arial" w:eastAsia="Arial" w:hAnsi="Arial"/>
                <w:sz w:val="20"/>
                <w:szCs w:val="20"/>
                <w:rtl w:val="0"/>
              </w:rPr>
              <w:t xml:space="preserve">EN11-1, EN11-4, EN11-6, EN11-9</w:t>
            </w:r>
            <w:r w:rsidDel="00000000" w:rsidR="00000000" w:rsidRPr="00000000">
              <w:rPr>
                <w:rtl w:val="0"/>
              </w:rPr>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1">
            <w:pPr>
              <w:spacing w:after="0" w:line="240" w:lineRule="auto"/>
              <w:ind w:left="180" w:firstLine="0"/>
              <w:rPr>
                <w:rFonts w:ascii="Times New Roman" w:cs="Times New Roman" w:eastAsia="Times New Roman" w:hAnsi="Times New Roman"/>
                <w:b w:val="1"/>
              </w:rPr>
            </w:pPr>
            <w:r w:rsidDel="00000000" w:rsidR="00000000" w:rsidRPr="00000000">
              <w:rPr>
                <w:b w:val="1"/>
                <w:rtl w:val="0"/>
              </w:rPr>
              <w:t xml:space="preserve">Term 1 2024</w:t>
            </w: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2">
            <w:pPr>
              <w:spacing w:after="0" w:line="240" w:lineRule="auto"/>
              <w:ind w:left="180" w:firstLine="0"/>
              <w:rPr>
                <w:b w:val="1"/>
              </w:rPr>
            </w:pPr>
            <w:r w:rsidDel="00000000" w:rsidR="00000000" w:rsidRPr="00000000">
              <w:rPr>
                <w:b w:val="1"/>
                <w:rtl w:val="0"/>
              </w:rPr>
              <w:t xml:space="preserve">Assessment: Creative Response and Reflection  (Due Week 10, Term 1 2024)</w:t>
            </w:r>
          </w:p>
          <w:p w:rsidR="00000000" w:rsidDel="00000000" w:rsidP="00000000" w:rsidRDefault="00000000" w:rsidRPr="00000000" w14:paraId="00000013">
            <w:pPr>
              <w:spacing w:after="0" w:line="240" w:lineRule="auto"/>
              <w:ind w:left="180" w:firstLine="0"/>
              <w:rPr>
                <w:rFonts w:ascii="Times New Roman" w:cs="Times New Roman" w:eastAsia="Times New Roman" w:hAnsi="Times New Roman"/>
                <w:b w:val="1"/>
              </w:rPr>
            </w:pPr>
            <w:r w:rsidDel="00000000" w:rsidR="00000000" w:rsidRPr="00000000">
              <w:rPr>
                <w:b w:val="1"/>
                <w:rtl w:val="0"/>
              </w:rPr>
              <w:t xml:space="preserve">Weighting: 30%</w:t>
            </w:r>
            <w:r w:rsidDel="00000000" w:rsidR="00000000" w:rsidRPr="00000000">
              <w:rPr>
                <w:rtl w:val="0"/>
              </w:rPr>
            </w:r>
          </w:p>
        </w:tc>
      </w:tr>
    </w:tbl>
    <w:p w:rsidR="00000000" w:rsidDel="00000000" w:rsidP="00000000" w:rsidRDefault="00000000" w:rsidRPr="00000000" w14:paraId="00000015">
      <w:pPr>
        <w:spacing w:after="0" w:line="240" w:lineRule="auto"/>
        <w:rPr>
          <w:rFonts w:ascii="Times New Roman" w:cs="Times New Roman" w:eastAsia="Times New Roman" w:hAnsi="Times New Roman"/>
          <w:sz w:val="4"/>
          <w:szCs w:val="4"/>
        </w:rPr>
      </w:pPr>
      <w:r w:rsidDel="00000000" w:rsidR="00000000" w:rsidRPr="00000000">
        <w:rPr>
          <w:rtl w:val="0"/>
        </w:rPr>
        <w:t xml:space="preserve"> </w:t>
      </w:r>
      <w:r w:rsidDel="00000000" w:rsidR="00000000" w:rsidRPr="00000000">
        <w:rPr>
          <w:rtl w:val="0"/>
        </w:rPr>
      </w:r>
    </w:p>
    <w:tbl>
      <w:tblPr>
        <w:tblStyle w:val="Table2"/>
        <w:tblW w:w="9645.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1215"/>
        <w:gridCol w:w="8430"/>
        <w:tblGridChange w:id="0">
          <w:tblGrid>
            <w:gridCol w:w="1215"/>
            <w:gridCol w:w="8430"/>
          </w:tblGrid>
        </w:tblGridChange>
      </w:tblGrid>
      <w:tr>
        <w:trPr>
          <w:cantSplit w:val="0"/>
          <w:trHeight w:val="1552" w:hRule="atLeast"/>
          <w:tblHeader w:val="0"/>
        </w:trPr>
        <w:tc>
          <w:tcPr>
            <w:gridSpan w:val="2"/>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016">
            <w:pPr>
              <w:spacing w:after="30" w:line="240" w:lineRule="auto"/>
              <w:ind w:right="15" w:firstLine="180"/>
              <w:rPr>
                <w:b w:val="1"/>
                <w:u w:val="single"/>
              </w:rPr>
            </w:pPr>
            <w:r w:rsidDel="00000000" w:rsidR="00000000" w:rsidRPr="00000000">
              <w:rPr>
                <w:b w:val="1"/>
                <w:u w:val="single"/>
                <w:rtl w:val="0"/>
              </w:rPr>
              <w:t xml:space="preserve">Module A: Contemporary Possibilities</w:t>
            </w:r>
          </w:p>
          <w:p w:rsidR="00000000" w:rsidDel="00000000" w:rsidP="00000000" w:rsidRDefault="00000000" w:rsidRPr="00000000" w14:paraId="00000017">
            <w:pPr>
              <w:spacing w:after="30" w:line="240" w:lineRule="auto"/>
              <w:ind w:left="180" w:right="15" w:firstLine="0"/>
              <w:rPr/>
            </w:pPr>
            <w:r w:rsidDel="00000000" w:rsidR="00000000" w:rsidRPr="00000000">
              <w:rPr>
                <w:rtl w:val="0"/>
              </w:rPr>
              <w:t xml:space="preserve">In this module, students extend their knowledge, understanding and appreciation of the ways that different communication technologies shape the ways that we read, navigate, understand and respond to digital, multimedia, multimodal and nonlinear texts.</w:t>
            </w:r>
          </w:p>
          <w:p w:rsidR="00000000" w:rsidDel="00000000" w:rsidP="00000000" w:rsidRDefault="00000000" w:rsidRPr="00000000" w14:paraId="00000018">
            <w:pPr>
              <w:spacing w:after="30" w:line="240" w:lineRule="auto"/>
              <w:ind w:right="15" w:firstLine="180"/>
              <w:rPr>
                <w:b w:val="1"/>
              </w:rPr>
            </w:pPr>
            <w:r w:rsidDel="00000000" w:rsidR="00000000" w:rsidRPr="00000000">
              <w:rPr>
                <w:b w:val="1"/>
                <w:rtl w:val="0"/>
              </w:rPr>
              <w:t xml:space="preserve">Text:</w:t>
            </w:r>
            <w:r w:rsidDel="00000000" w:rsidR="00000000" w:rsidRPr="00000000">
              <w:rPr>
                <w:rtl w:val="0"/>
              </w:rPr>
              <w:t xml:space="preserve"> Film</w:t>
            </w:r>
            <w:r w:rsidDel="00000000" w:rsidR="00000000" w:rsidRPr="00000000">
              <w:rPr>
                <w:rtl w:val="0"/>
              </w:rPr>
            </w:r>
          </w:p>
          <w:p w:rsidR="00000000" w:rsidDel="00000000" w:rsidP="00000000" w:rsidRDefault="00000000" w:rsidRPr="00000000" w14:paraId="00000019">
            <w:pPr>
              <w:spacing w:after="30" w:line="240" w:lineRule="auto"/>
              <w:ind w:right="15" w:firstLine="180"/>
              <w:rPr>
                <w:b w:val="1"/>
              </w:rPr>
            </w:pPr>
            <w:r w:rsidDel="00000000" w:rsidR="00000000" w:rsidRPr="00000000">
              <w:rPr>
                <w:b w:val="1"/>
                <w:rtl w:val="0"/>
              </w:rPr>
              <w:t xml:space="preserve">Term 2 2024 Week 1 – Term 2 2024 Week 10 (40 hours)</w:t>
            </w:r>
          </w:p>
        </w:tc>
      </w:tr>
      <w:tr>
        <w:trPr>
          <w:cantSplit w:val="0"/>
          <w:trHeight w:val="435" w:hRule="atLeast"/>
          <w:tblHeader w:val="0"/>
        </w:trPr>
        <w:tc>
          <w:tcPr>
            <w:gridSpan w:val="2"/>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01B">
            <w:pPr>
              <w:spacing w:after="30" w:line="240" w:lineRule="auto"/>
              <w:ind w:left="105" w:right="15" w:firstLine="75"/>
              <w:rPr>
                <w:rFonts w:ascii="Times New Roman" w:cs="Times New Roman" w:eastAsia="Times New Roman" w:hAnsi="Times New Roman"/>
              </w:rPr>
            </w:pPr>
            <w:r w:rsidDel="00000000" w:rsidR="00000000" w:rsidRPr="00000000">
              <w:rPr>
                <w:b w:val="1"/>
                <w:rtl w:val="0"/>
              </w:rPr>
              <w:t xml:space="preserve">Outcomes Assessed: </w:t>
            </w:r>
            <w:r w:rsidDel="00000000" w:rsidR="00000000" w:rsidRPr="00000000">
              <w:rPr>
                <w:rtl w:val="0"/>
              </w:rPr>
              <w:t xml:space="preserve">EN11-2, EN11-3, EN11-5, EN11-6</w:t>
            </w:r>
            <w:r w:rsidDel="00000000" w:rsidR="00000000" w:rsidRPr="00000000">
              <w:rPr>
                <w:rtl w:val="0"/>
              </w:rPr>
            </w:r>
          </w:p>
        </w:tc>
      </w:tr>
      <w:tr>
        <w:trPr>
          <w:cantSplit w:val="0"/>
          <w:trHeight w:val="873"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01D">
            <w:pPr>
              <w:spacing w:after="30" w:line="240" w:lineRule="auto"/>
              <w:ind w:left="150" w:firstLine="30"/>
              <w:rPr>
                <w:rFonts w:ascii="Times New Roman" w:cs="Times New Roman" w:eastAsia="Times New Roman" w:hAnsi="Times New Roman"/>
                <w:b w:val="1"/>
              </w:rPr>
            </w:pPr>
            <w:r w:rsidDel="00000000" w:rsidR="00000000" w:rsidRPr="00000000">
              <w:rPr>
                <w:b w:val="1"/>
                <w:rtl w:val="0"/>
              </w:rPr>
              <w:t xml:space="preserve">Term 2 2024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01E">
            <w:pPr>
              <w:spacing w:after="30" w:lineRule="auto"/>
              <w:ind w:firstLine="180"/>
              <w:rPr>
                <w:b w:val="1"/>
              </w:rPr>
            </w:pPr>
            <w:r w:rsidDel="00000000" w:rsidR="00000000" w:rsidRPr="00000000">
              <w:rPr>
                <w:b w:val="1"/>
                <w:rtl w:val="0"/>
              </w:rPr>
              <w:t xml:space="preserve">Assessment: Multimodal Presentation (Due Week 10, Term 2 2024)</w:t>
            </w:r>
          </w:p>
          <w:p w:rsidR="00000000" w:rsidDel="00000000" w:rsidP="00000000" w:rsidRDefault="00000000" w:rsidRPr="00000000" w14:paraId="0000001F">
            <w:pPr>
              <w:spacing w:after="30" w:lineRule="auto"/>
              <w:ind w:firstLine="180"/>
              <w:rPr>
                <w:b w:val="1"/>
              </w:rPr>
            </w:pPr>
            <w:r w:rsidDel="00000000" w:rsidR="00000000" w:rsidRPr="00000000">
              <w:rPr>
                <w:b w:val="1"/>
                <w:rtl w:val="0"/>
              </w:rPr>
              <w:t xml:space="preserve">Weighting: 40%</w:t>
            </w:r>
          </w:p>
        </w:tc>
      </w:tr>
    </w:tbl>
    <w:p w:rsidR="00000000" w:rsidDel="00000000" w:rsidP="00000000" w:rsidRDefault="00000000" w:rsidRPr="00000000" w14:paraId="00000020">
      <w:pPr>
        <w:spacing w:line="240" w:lineRule="auto"/>
        <w:rPr>
          <w:sz w:val="2"/>
          <w:szCs w:val="2"/>
        </w:rPr>
      </w:pPr>
      <w:r w:rsidDel="00000000" w:rsidR="00000000" w:rsidRPr="00000000">
        <w:rPr>
          <w:rtl w:val="0"/>
        </w:rPr>
      </w:r>
    </w:p>
    <w:tbl>
      <w:tblPr>
        <w:tblStyle w:val="Table3"/>
        <w:tblW w:w="9660.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1110"/>
        <w:gridCol w:w="8550"/>
        <w:tblGridChange w:id="0">
          <w:tblGrid>
            <w:gridCol w:w="1110"/>
            <w:gridCol w:w="8550"/>
          </w:tblGrid>
        </w:tblGridChange>
      </w:tblGrid>
      <w:tr>
        <w:trPr>
          <w:cantSplit w:val="0"/>
          <w:trHeight w:val="1222" w:hRule="atLeast"/>
          <w:tblHeader w:val="0"/>
        </w:trPr>
        <w:tc>
          <w:tcPr>
            <w:gridSpan w:val="2"/>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021">
            <w:pPr>
              <w:spacing w:line="240" w:lineRule="auto"/>
              <w:ind w:left="180" w:right="15" w:firstLine="0"/>
              <w:rPr>
                <w:b w:val="1"/>
              </w:rPr>
            </w:pPr>
            <w:r w:rsidDel="00000000" w:rsidR="00000000" w:rsidRPr="00000000">
              <w:rPr>
                <w:b w:val="1"/>
                <w:u w:val="single"/>
                <w:rtl w:val="0"/>
              </w:rPr>
              <w:t xml:space="preserve">Module B: Close Study of Text</w:t>
              <w:br w:type="textWrapping"/>
            </w:r>
            <w:r w:rsidDel="00000000" w:rsidR="00000000" w:rsidRPr="00000000">
              <w:rPr>
                <w:rtl w:val="0"/>
              </w:rPr>
              <w:t xml:space="preserve">In this module, students develop their knowledge and appreciation of a substantial literary print text. Through their close study of and personal responses to the text in its entirety, students develop an understanding of the ways that language features, text structures and stylistic choices can be used in literary texts.</w:t>
            </w:r>
            <w:r w:rsidDel="00000000" w:rsidR="00000000" w:rsidRPr="00000000">
              <w:rPr>
                <w:b w:val="1"/>
                <w:sz w:val="24"/>
                <w:szCs w:val="24"/>
                <w:rtl w:val="0"/>
              </w:rPr>
              <w:br w:type="textWrapping"/>
            </w:r>
            <w:r w:rsidDel="00000000" w:rsidR="00000000" w:rsidRPr="00000000">
              <w:rPr>
                <w:b w:val="1"/>
                <w:rtl w:val="0"/>
              </w:rPr>
              <w:t xml:space="preserve">Texts: </w:t>
            </w:r>
            <w:r w:rsidDel="00000000" w:rsidR="00000000" w:rsidRPr="00000000">
              <w:rPr>
                <w:rtl w:val="0"/>
              </w:rPr>
              <w:t xml:space="preserve">Novel</w:t>
              <w:br w:type="textWrapping"/>
            </w:r>
            <w:r w:rsidDel="00000000" w:rsidR="00000000" w:rsidRPr="00000000">
              <w:rPr>
                <w:b w:val="1"/>
                <w:rtl w:val="0"/>
              </w:rPr>
              <w:t xml:space="preserve">Term 3 2024 Week 1 – Term 3 2024 Week 10 (40 hours)</w:t>
            </w:r>
          </w:p>
        </w:tc>
      </w:tr>
      <w:tr>
        <w:trPr>
          <w:cantSplit w:val="0"/>
          <w:trHeight w:val="435" w:hRule="atLeast"/>
          <w:tblHeader w:val="0"/>
        </w:trPr>
        <w:tc>
          <w:tcPr>
            <w:gridSpan w:val="2"/>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023">
            <w:pPr>
              <w:spacing w:line="240" w:lineRule="auto"/>
              <w:ind w:left="180" w:right="15" w:firstLine="0"/>
              <w:rPr>
                <w:rFonts w:ascii="Times New Roman" w:cs="Times New Roman" w:eastAsia="Times New Roman" w:hAnsi="Times New Roman"/>
                <w:b w:val="1"/>
              </w:rPr>
            </w:pPr>
            <w:r w:rsidDel="00000000" w:rsidR="00000000" w:rsidRPr="00000000">
              <w:rPr>
                <w:b w:val="1"/>
                <w:rtl w:val="0"/>
              </w:rPr>
              <w:t xml:space="preserve">Outcomes Assessed: </w:t>
            </w:r>
            <w:r w:rsidDel="00000000" w:rsidR="00000000" w:rsidRPr="00000000">
              <w:rPr>
                <w:rFonts w:ascii="Arial" w:cs="Arial" w:eastAsia="Arial" w:hAnsi="Arial"/>
                <w:sz w:val="20"/>
                <w:szCs w:val="20"/>
                <w:rtl w:val="0"/>
              </w:rPr>
              <w:t xml:space="preserve">EN11-3, EN11-4, EN11-7, EN11-8</w:t>
            </w:r>
            <w:r w:rsidDel="00000000" w:rsidR="00000000" w:rsidRPr="00000000">
              <w:rPr>
                <w:rtl w:val="0"/>
              </w:rPr>
            </w:r>
          </w:p>
        </w:tc>
      </w:tr>
      <w:tr>
        <w:trPr>
          <w:cantSplit w:val="0"/>
          <w:trHeight w:val="960"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025">
            <w:pPr>
              <w:spacing w:line="240" w:lineRule="auto"/>
              <w:ind w:left="180" w:firstLine="0"/>
              <w:rPr>
                <w:rFonts w:ascii="Times New Roman" w:cs="Times New Roman" w:eastAsia="Times New Roman" w:hAnsi="Times New Roman"/>
                <w:b w:val="1"/>
              </w:rPr>
            </w:pPr>
            <w:r w:rsidDel="00000000" w:rsidR="00000000" w:rsidRPr="00000000">
              <w:rPr>
                <w:b w:val="1"/>
                <w:rtl w:val="0"/>
              </w:rPr>
              <w:t xml:space="preserve">Term 3 2024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026">
            <w:pPr>
              <w:ind w:left="180" w:firstLine="0"/>
              <w:rPr>
                <w:b w:val="1"/>
              </w:rPr>
            </w:pPr>
            <w:r w:rsidDel="00000000" w:rsidR="00000000" w:rsidRPr="00000000">
              <w:rPr>
                <w:b w:val="1"/>
                <w:rtl w:val="0"/>
              </w:rPr>
              <w:t xml:space="preserve">Assessment: Critical Response Exam (Completed during exam period Term 3 2024)</w:t>
              <w:br w:type="textWrapping"/>
              <w:t xml:space="preserve">Weighting: 30%</w:t>
              <w:br w:type="textWrapping"/>
            </w:r>
          </w:p>
        </w:tc>
      </w:tr>
    </w:tbl>
    <w:p w:rsidR="00000000" w:rsidDel="00000000" w:rsidP="00000000" w:rsidRDefault="00000000" w:rsidRPr="00000000" w14:paraId="00000027">
      <w:pPr>
        <w:rPr>
          <w:b w:val="1"/>
          <w:sz w:val="2"/>
          <w:szCs w:val="2"/>
        </w:rPr>
      </w:pPr>
      <w:r w:rsidDel="00000000" w:rsidR="00000000" w:rsidRPr="00000000">
        <w:rPr>
          <w:rtl w:val="0"/>
        </w:rPr>
      </w:r>
    </w:p>
    <w:p w:rsidR="00000000" w:rsidDel="00000000" w:rsidP="00000000" w:rsidRDefault="00000000" w:rsidRPr="00000000" w14:paraId="00000028">
      <w:pPr>
        <w:spacing w:after="0" w:line="240" w:lineRule="auto"/>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5gFSMb4zgOZk2xcUtn21NnNuIw==">CgMxLjA4AHIhMVpBZWM5bGk1QXBDM19ObjlrcG85eWM0aERaTGpBZzhy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2022-02-01T03:58:00Z</dcterms:created>
  <dc:creator>Kimberley Scott</dc:creator>
</cp:coreProperties>
</file>